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w:t>
      </w:r>
      <w:r w:rsidDel="00000000" w:rsidR="00000000" w:rsidRPr="00000000">
        <w:rPr>
          <w:rFonts w:ascii="Times New Roman" w:cs="Times New Roman" w:eastAsia="Times New Roman" w:hAnsi="Times New Roman"/>
          <w:b w:val="1"/>
          <w:sz w:val="24"/>
          <w:szCs w:val="24"/>
          <w:rtl w:val="0"/>
        </w:rPr>
        <w:t xml:space="preserve">mmediate Release:</w:t>
      </w:r>
      <w:r w:rsidDel="00000000" w:rsidR="00000000" w:rsidRPr="00000000">
        <w:rPr>
          <w:rtl w:val="0"/>
        </w:rPr>
      </w:r>
    </w:p>
    <w:p w:rsidR="00000000" w:rsidDel="00000000" w:rsidP="00000000" w:rsidRDefault="00000000" w:rsidRPr="00000000" w14:paraId="00000002">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Contacts:</w:t>
      </w:r>
      <w:r w:rsidDel="00000000" w:rsidR="00000000" w:rsidRPr="00000000">
        <w:rPr>
          <w:rtl w:val="0"/>
        </w:rPr>
      </w:r>
    </w:p>
    <w:p w:rsidR="00000000" w:rsidDel="00000000" w:rsidP="00000000" w:rsidRDefault="00000000" w:rsidRPr="00000000" w14:paraId="00000003">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Gillian Graber</w:t>
      </w:r>
    </w:p>
    <w:p w:rsidR="00000000" w:rsidDel="00000000" w:rsidP="00000000" w:rsidRDefault="00000000" w:rsidRPr="00000000" w14:paraId="00000005">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w:t>
      </w:r>
    </w:p>
    <w:p w:rsidR="00000000" w:rsidDel="00000000" w:rsidP="00000000" w:rsidRDefault="00000000" w:rsidRPr="00000000" w14:paraId="00000006">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724-392-7023</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PT</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gillian@protectpt.org</w:t>
        </w:r>
      </w:hyperlink>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 Hulton VanTassel</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724-651-4367</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Rivers Waterkeeper</w:t>
      </w:r>
    </w:p>
    <w:p w:rsidR="00000000" w:rsidDel="00000000" w:rsidP="00000000" w:rsidRDefault="00000000" w:rsidRPr="00000000" w14:paraId="0000000E">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heather@threeriverswaterkeeper.org</w:t>
        </w:r>
      </w:hyperlink>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Protect PT</w:t>
      </w:r>
      <w:r w:rsidDel="00000000" w:rsidR="00000000" w:rsidRPr="00000000">
        <w:rPr>
          <w:rFonts w:ascii="Times New Roman" w:cs="Times New Roman" w:eastAsia="Times New Roman" w:hAnsi="Times New Roman"/>
          <w:b w:val="1"/>
          <w:sz w:val="24"/>
          <w:szCs w:val="24"/>
          <w:rtl w:val="0"/>
        </w:rPr>
        <w:t xml:space="preserve"> and Three Rivers </w:t>
      </w:r>
      <w:r w:rsidDel="00000000" w:rsidR="00000000" w:rsidRPr="00000000">
        <w:rPr>
          <w:rFonts w:ascii="Times New Roman" w:cs="Times New Roman" w:eastAsia="Times New Roman" w:hAnsi="Times New Roman"/>
          <w:b w:val="1"/>
          <w:sz w:val="24"/>
          <w:szCs w:val="24"/>
          <w:rtl w:val="0"/>
        </w:rPr>
        <w:t xml:space="preserve">Waterkeeper</w:t>
      </w:r>
      <w:r w:rsidDel="00000000" w:rsidR="00000000" w:rsidRPr="00000000">
        <w:rPr>
          <w:rFonts w:ascii="Times New Roman" w:cs="Times New Roman" w:eastAsia="Times New Roman" w:hAnsi="Times New Roman"/>
          <w:b w:val="1"/>
          <w:sz w:val="24"/>
          <w:szCs w:val="24"/>
          <w:rtl w:val="0"/>
        </w:rPr>
        <w:t xml:space="preserve"> Overcome a Motion to Dismiss </w:t>
      </w:r>
    </w:p>
    <w:p w:rsidR="00000000" w:rsidDel="00000000" w:rsidP="00000000" w:rsidRDefault="00000000" w:rsidRPr="00000000" w14:paraId="00000012">
      <w:pPr>
        <w:pageBreakBefore w:val="0"/>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Front of the Federal Environmental Appeals Board</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March 8, 2024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Protect PT and Three Rivers Waterkeeper are pleased to announce that they defeated Penneco’s attempt to dismiss their appeal of the EPA’s issuance of the Sedat 4a Underground Fracking Waste Injection Well in front of the federal Environmental Appeals Board (“EAB”). Penneco sought to have the appeal dismissed on timeliness grounds, but instead the EAB found that the EPA did not issue proper notice of its final permit action according to a </w:t>
      </w:r>
      <w:hyperlink r:id="rId8">
        <w:r w:rsidDel="00000000" w:rsidR="00000000" w:rsidRPr="00000000">
          <w:rPr>
            <w:rFonts w:ascii="Times New Roman" w:cs="Times New Roman" w:eastAsia="Times New Roman" w:hAnsi="Times New Roman"/>
            <w:color w:val="1155cc"/>
            <w:sz w:val="24"/>
            <w:szCs w:val="24"/>
            <w:u w:val="single"/>
            <w:rtl w:val="0"/>
          </w:rPr>
          <w:t xml:space="preserve">February 28th ruling</w:t>
        </w:r>
      </w:hyperlink>
      <w:r w:rsidDel="00000000" w:rsidR="00000000" w:rsidRPr="00000000">
        <w:rPr>
          <w:rFonts w:ascii="Times New Roman" w:cs="Times New Roman" w:eastAsia="Times New Roman" w:hAnsi="Times New Roman"/>
          <w:sz w:val="24"/>
          <w:szCs w:val="24"/>
          <w:rtl w:val="0"/>
        </w:rPr>
        <w:t xml:space="preserve">. This result also means that additional individuals or organizations may also file an appeal at this time.</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EAB</w:t>
      </w:r>
      <w:r w:rsidDel="00000000" w:rsidR="00000000" w:rsidRPr="00000000">
        <w:rPr>
          <w:rFonts w:ascii="Times New Roman" w:cs="Times New Roman" w:eastAsia="Times New Roman" w:hAnsi="Times New Roman"/>
          <w:sz w:val="24"/>
          <w:szCs w:val="24"/>
          <w:rtl w:val="0"/>
        </w:rPr>
        <w:t xml:space="preserve"> held</w:t>
      </w:r>
      <w:r w:rsidDel="00000000" w:rsidR="00000000" w:rsidRPr="00000000">
        <w:rPr>
          <w:rFonts w:ascii="Times New Roman" w:cs="Times New Roman" w:eastAsia="Times New Roman" w:hAnsi="Times New Roman"/>
          <w:sz w:val="24"/>
          <w:szCs w:val="24"/>
          <w:rtl w:val="0"/>
        </w:rPr>
        <w:t xml:space="preserve"> that the EPA’s “</w:t>
      </w:r>
      <w:r w:rsidDel="00000000" w:rsidR="00000000" w:rsidRPr="00000000">
        <w:rPr>
          <w:rFonts w:ascii="Times New Roman" w:cs="Times New Roman" w:eastAsia="Times New Roman" w:hAnsi="Times New Roman"/>
          <w:i w:val="1"/>
          <w:sz w:val="24"/>
          <w:szCs w:val="24"/>
          <w:rtl w:val="0"/>
        </w:rPr>
        <w:t xml:space="preserve">notice”</w:t>
      </w:r>
      <w:r w:rsidDel="00000000" w:rsidR="00000000" w:rsidRPr="00000000">
        <w:rPr>
          <w:rFonts w:ascii="Times New Roman" w:cs="Times New Roman" w:eastAsia="Times New Roman" w:hAnsi="Times New Roman"/>
          <w:sz w:val="24"/>
          <w:szCs w:val="24"/>
          <w:rtl w:val="0"/>
        </w:rPr>
        <w:t xml:space="preserve"> of its action did not contain the required instructions for taking an appeal as required by the Code of Federal Regulations and was, therefore, defective. Next, it held that the EPA’s 42 page response to each of the comments that were made was not the </w:t>
      </w:r>
      <w:r w:rsidDel="00000000" w:rsidR="00000000" w:rsidRPr="00000000">
        <w:rPr>
          <w:rFonts w:ascii="Times New Roman" w:cs="Times New Roman" w:eastAsia="Times New Roman" w:hAnsi="Times New Roman"/>
          <w:i w:val="1"/>
          <w:sz w:val="24"/>
          <w:szCs w:val="24"/>
          <w:rtl w:val="0"/>
        </w:rPr>
        <w:t xml:space="preserve">notice of EPA’s final permit decision</w:t>
      </w:r>
      <w:r w:rsidDel="00000000" w:rsidR="00000000" w:rsidRPr="00000000">
        <w:rPr>
          <w:rFonts w:ascii="Times New Roman" w:cs="Times New Roman" w:eastAsia="Times New Roman" w:hAnsi="Times New Roman"/>
          <w:sz w:val="24"/>
          <w:szCs w:val="24"/>
          <w:rtl w:val="0"/>
        </w:rPr>
        <w:t xml:space="preserve">. The notice of the “final permit decision” is a separate and distinct document, which, in this case, was not provided according to the EAB. Therefore, Penneco’s motion to dismiss was denied, and the EPA needs to issue the final permit decision to all commenters.</w:t>
      </w:r>
    </w:p>
    <w:p w:rsidR="00000000" w:rsidDel="00000000" w:rsidP="00000000" w:rsidRDefault="00000000" w:rsidRPr="00000000" w14:paraId="00000017">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these deficiencies, the EAB held that the EPA </w:t>
      </w:r>
      <w:r w:rsidDel="00000000" w:rsidR="00000000" w:rsidRPr="00000000">
        <w:rPr>
          <w:rFonts w:ascii="Times New Roman" w:cs="Times New Roman" w:eastAsia="Times New Roman" w:hAnsi="Times New Roman"/>
          <w:b w:val="1"/>
          <w:i w:val="1"/>
          <w:sz w:val="24"/>
          <w:szCs w:val="24"/>
          <w:rtl w:val="0"/>
        </w:rPr>
        <w:t xml:space="preserve">never served notice of its final permit decision to any commentator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herefore, </w:t>
      </w:r>
      <w:r w:rsidDel="00000000" w:rsidR="00000000" w:rsidRPr="00000000">
        <w:rPr>
          <w:rFonts w:ascii="Times New Roman" w:cs="Times New Roman" w:eastAsia="Times New Roman" w:hAnsi="Times New Roman"/>
          <w:b w:val="1"/>
          <w:i w:val="1"/>
          <w:sz w:val="24"/>
          <w:szCs w:val="24"/>
          <w:rtl w:val="0"/>
        </w:rPr>
        <w:t xml:space="preserve">the time for appeal never began to run in this matter.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means that any commentator to the Sedat 4a permit may still file an appeal. </w:t>
      </w:r>
      <w:r w:rsidDel="00000000" w:rsidR="00000000" w:rsidRPr="00000000">
        <w:rPr>
          <w:rFonts w:ascii="Times New Roman" w:cs="Times New Roman" w:eastAsia="Times New Roman" w:hAnsi="Times New Roman"/>
          <w:sz w:val="24"/>
          <w:szCs w:val="24"/>
          <w:rtl w:val="0"/>
        </w:rPr>
        <w:t xml:space="preserve">This is significant because it may be that the EPA has not given proper notice to commentators in any of its decisions on UIC well permits. If that is the case, then all of the EPA’s grants of permits for UIC wells are still subject to appeal by individuals who commented on the original permit. Protect PT and Three Rivers Waterkeeper look forward to working with the EPA to ascertain the status of these notices to ensure that residents and their due process rights are protected.</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Gillian Graber, Executive Director of Protect PT said, “This is a big win for residents of Pennsylvania, but it also begs the question of how many other permits were improperly issued by the EPA.” Graber further explains, “Not only are the notices improperly done, but the EPA failed to follow proper hearing protocol as outlined in </w:t>
      </w:r>
      <w:r w:rsidDel="00000000" w:rsidR="00000000" w:rsidRPr="00000000">
        <w:rPr>
          <w:rFonts w:ascii="Times New Roman" w:cs="Times New Roman" w:eastAsia="Times New Roman" w:hAnsi="Times New Roman"/>
          <w:b w:val="1"/>
          <w:sz w:val="24"/>
          <w:szCs w:val="24"/>
          <w:rtl w:val="0"/>
        </w:rPr>
        <w:t xml:space="preserve">Code of Federal Regulations 40 CFR 25.5 or 124.10. </w:t>
      </w:r>
      <w:r w:rsidDel="00000000" w:rsidR="00000000" w:rsidRPr="00000000">
        <w:rPr>
          <w:rFonts w:ascii="Times New Roman" w:cs="Times New Roman" w:eastAsia="Times New Roman" w:hAnsi="Times New Roman"/>
          <w:sz w:val="24"/>
          <w:szCs w:val="24"/>
          <w:rtl w:val="0"/>
        </w:rPr>
        <w:t xml:space="preserve">We see this conduct by the EPA happening in several communities around the state. Local and state officials should be on the lookout for new permits in their area. P</w:t>
      </w:r>
      <w:r w:rsidDel="00000000" w:rsidR="00000000" w:rsidRPr="00000000">
        <w:rPr>
          <w:rFonts w:ascii="Times New Roman" w:cs="Times New Roman" w:eastAsia="Times New Roman" w:hAnsi="Times New Roman"/>
          <w:sz w:val="24"/>
          <w:szCs w:val="24"/>
          <w:rtl w:val="0"/>
        </w:rPr>
        <w:t xml:space="preserve">ublic participation is an essential part of this permitting process, and we should not be left out </w:t>
      </w:r>
      <w:r w:rsidDel="00000000" w:rsidR="00000000" w:rsidRPr="00000000">
        <w:rPr>
          <w:rFonts w:ascii="Times New Roman" w:cs="Times New Roman" w:eastAsia="Times New Roman" w:hAnsi="Times New Roman"/>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PT and Three Rivers Waterkeeper outlined major issues regarding the Sedat 4a injection well permit in their appeal (read the appeal </w:t>
      </w:r>
      <w:hyperlink r:id="rId9">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 Injection wells store hazardous wastewater from fracking and other pollution sources in permeable underground rock layers. The wastewater that is injected can carry naturally occurring radioactive isotopes, chemical additives, heavy metals, and carcinogens. During the injection process, the highly toxic wastewater can leak and contaminate surrounding ground water and drinking water sources, thereby threatening our right to pure water and endangering the natural, scenic, historic, and esthetic values of Pennsylvania’s environment guaranteed in the Pennsylvania Constitution.  “Penneco has clearly violated similar permits in the past, and they have not shown that they will protect our natural resources and prevent environmental and public health harm,” states Heather Hulton VanTassel, Executive Director of Three Rivers Waterkeeper.</w:t>
      </w: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commented in the 2022 hearings received an email from EPA on March 7, 2024 that states the new deadline to appeal this permit is 30 days from </w:t>
      </w:r>
      <w:r w:rsidDel="00000000" w:rsidR="00000000" w:rsidRPr="00000000">
        <w:rPr>
          <w:rFonts w:ascii="Times New Roman" w:cs="Times New Roman" w:eastAsia="Times New Roman" w:hAnsi="Times New Roman"/>
          <w:b w:val="1"/>
          <w:sz w:val="24"/>
          <w:szCs w:val="24"/>
          <w:rtl w:val="0"/>
        </w:rPr>
        <w:t xml:space="preserve">March 7, 2024</w:t>
      </w:r>
      <w:r w:rsidDel="00000000" w:rsidR="00000000" w:rsidRPr="00000000">
        <w:rPr>
          <w:rFonts w:ascii="Times New Roman" w:cs="Times New Roman" w:eastAsia="Times New Roman" w:hAnsi="Times New Roman"/>
          <w:sz w:val="24"/>
          <w:szCs w:val="24"/>
          <w:rtl w:val="0"/>
        </w:rPr>
        <w:t xml:space="preserve">. If commenters wish to appeal the permit, the new deadline will be </w:t>
      </w:r>
      <w:r w:rsidDel="00000000" w:rsidR="00000000" w:rsidRPr="00000000">
        <w:rPr>
          <w:rFonts w:ascii="Times New Roman" w:cs="Times New Roman" w:eastAsia="Times New Roman" w:hAnsi="Times New Roman"/>
          <w:b w:val="1"/>
          <w:sz w:val="24"/>
          <w:szCs w:val="24"/>
          <w:rtl w:val="0"/>
        </w:rPr>
        <w:t xml:space="preserve">April 6, 2024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PT and Three Rivers Waterkeeper are represented by Lisa Johnson &amp; Associates and will be moving forward with their case to have the permit overturned due to its high risk of water contamination, violation of PA’s Article 1 Section 27 Environmental Rights Amendment, and violation of equal protection.</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About Protect PT</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Protect Penn-Trafford is a citizen's group working to ensure the safety, security, and quality of life from the effects of unconventional gas development in Penn-Trafford and surrounding communities in Westmoreland and Allegheny Counties. Learn more at protectpt.org.</w:t>
      </w:r>
    </w:p>
    <w:p w:rsidR="00000000" w:rsidDel="00000000" w:rsidP="00000000" w:rsidRDefault="00000000" w:rsidRPr="00000000" w14:paraId="00000025">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About Three Rivers Waterkeeper:</w:t>
      </w:r>
      <w:r w:rsidDel="00000000" w:rsidR="00000000" w:rsidRPr="00000000">
        <w:rPr>
          <w:rFonts w:ascii="Times New Roman" w:cs="Times New Roman" w:eastAsia="Times New Roman" w:hAnsi="Times New Roman"/>
          <w:i w:val="1"/>
          <w:sz w:val="24"/>
          <w:szCs w:val="24"/>
          <w:rtl w:val="0"/>
        </w:rPr>
        <w:t xml:space="preserve">  Three Rivers Waterkeeper is an environmental nonprofit serving southwestern PA with a mission to protect the water quality of the Allegheny, Monongahela, and Ohio Rivers and their respective watersheds. They have an ultimate vision of drinkable, fishable, and swimmable watersheds for all.</w:t>
      </w: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i w:val="1"/>
          <w:sz w:val="24"/>
          <w:szCs w:val="24"/>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jc w:val="center"/>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center"/>
      <w:rPr>
        <w:sz w:val="16"/>
        <w:szCs w:val="16"/>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jc w:val="left"/>
      <w:rPr>
        <w:color w:val="31737f"/>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280988</wp:posOffset>
          </wp:positionV>
          <wp:extent cx="2366355" cy="576263"/>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66355" cy="576263"/>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3133725</wp:posOffset>
          </wp:positionH>
          <wp:positionV relativeFrom="paragraph">
            <wp:posOffset>-233362</wp:posOffset>
          </wp:positionV>
          <wp:extent cx="2809875" cy="685800"/>
          <wp:effectExtent b="0" l="0" r="0" t="0"/>
          <wp:wrapNone/>
          <wp:docPr id="2" name="image1.jpg"/>
          <a:graphic>
            <a:graphicData uri="http://schemas.openxmlformats.org/drawingml/2006/picture">
              <pic:pic>
                <pic:nvPicPr>
                  <pic:cNvPr id="0" name="image1.jpg"/>
                  <pic:cNvPicPr preferRelativeResize="0"/>
                </pic:nvPicPr>
                <pic:blipFill>
                  <a:blip r:embed="rId2"/>
                  <a:srcRect b="9803" l="0" r="0" t="19607"/>
                  <a:stretch>
                    <a:fillRect/>
                  </a:stretch>
                </pic:blipFill>
                <pic:spPr>
                  <a:xfrm>
                    <a:off x="0" y="0"/>
                    <a:ext cx="2809875" cy="685800"/>
                  </a:xfrm>
                  <a:prstGeom prst="rect"/>
                  <a:ln/>
                </pic:spPr>
              </pic:pic>
            </a:graphicData>
          </a:graphic>
        </wp:anchor>
      </w:drawing>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semite.epa.gov/OA/EAB_WEB_Docket.nsf/Filings%20By%20Appeal%20Number/D948FA88110DC78985258A54005E4C46/%24File/Final%20Sedat%204A%20Appeal%20to%20EAB.pdf" TargetMode="External"/><Relationship Id="rId5" Type="http://schemas.openxmlformats.org/officeDocument/2006/relationships/styles" Target="styles.xml"/><Relationship Id="rId6" Type="http://schemas.openxmlformats.org/officeDocument/2006/relationships/hyperlink" Target="mailto:gillian@protectpt.org" TargetMode="External"/><Relationship Id="rId7" Type="http://schemas.openxmlformats.org/officeDocument/2006/relationships/hyperlink" Target="mailto:Heather@threeriverswaterkeeper.org" TargetMode="External"/><Relationship Id="rId8" Type="http://schemas.openxmlformats.org/officeDocument/2006/relationships/hyperlink" Target="https://drive.google.com/file/d/1QbkbEzaCp8P6n5Npmd8VCDkj-Jj4e7Ru/view?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